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80"/>
      </w:pPr>
      <w:r>
        <w:rPr>
          <w:b/>
          <w:bCs/>
          <w:color w:val="1F3D2B"/>
        </w:rPr>
        <w:t xml:space="preserve">Course Rating &amp; Handicap Allowance Reference</w:t>
      </w:r>
    </w:p>
    <w:p>
      <w:pPr>
        <w:spacing w:after="300"/>
      </w:pPr>
      <w:r>
        <w:rPr>
          <w:i/>
          <w:iCs/>
          <w:color w:val="2A2622"/>
          <w:sz w:val="22"/>
          <w:szCs w:val="22"/>
        </w:rPr>
        <w:t xml:space="preserve">A free reference from golfscore.club — matches exactly what the app calculates, so you can always check your own numbers.</w:t>
      </w:r>
    </w:p>
    <w:p>
      <w:pPr>
        <w:spacing w:after="160"/>
      </w:pPr>
      <w:r>
        <w:rPr>
          <w:i/>
          <w:iCs/>
          <w:color w:val="2A2622"/>
        </w:rPr>
        <w:t xml:space="preserve">The app supports two handicap systems, chosen per event under Setup → Handicap System: International (WHS) and Australian (Golf Australia / GA). Course Handicap is calculated the same way under both — only the Playing Handicap allowance differs, and GA uses one flat rule for every format instead of WHS’s field-size and match-play rules.</w:t>
      </w:r>
    </w:p>
    <w:p>
      <w:pPr>
        <w:pStyle w:val="Heading1"/>
        <w:spacing w:after="120" w:before="300"/>
      </w:pPr>
      <w:r>
        <w:rPr>
          <w:b/>
          <w:bCs/>
          <w:color w:val="1F3D2B"/>
        </w:rPr>
        <w:t xml:space="preserve">Course Handicap — same under both systems</w:t>
      </w:r>
    </w:p>
    <w:p>
      <w:pPr>
        <w:spacing w:after="160"/>
      </w:pPr>
      <w:r>
        <w:rPr>
          <w:b/>
          <w:bCs/>
          <w:color w:val="2A2622"/>
        </w:rPr>
        <w:t xml:space="preserve">Course Handicap = round( Handicap Index × (Slope ÷ 113) + (Course Rating − Par) )</w:t>
      </w:r>
    </w:p>
    <w:p>
      <w:pPr>
        <w:spacing w:after="160"/>
      </w:pPr>
      <w:r>
        <w:rPr>
          <w:color w:val="2A2622"/>
        </w:rPr>
        <w:t xml:space="preserve">Worked example: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0"/>
        <w:gridCol w:w="4000"/>
      </w:tblGrid>
      <w:tr>
        <w:tc>
          <w:tcPr>
            <w:tcW w:type="dxa" w:w="5000"/>
            <w:shd w:fill="1F3D2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Term</w:t>
            </w:r>
          </w:p>
        </w:tc>
        <w:tc>
          <w:tcPr>
            <w:tcW w:type="dxa" w:w="4000"/>
            <w:shd w:fill="1F3D2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Value</w:t>
            </w:r>
          </w:p>
        </w:tc>
      </w:tr>
      <w:tr>
        <w:tc>
          <w:tcPr>
            <w:tcW w:type="dxa" w:w="50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2A2622"/>
                <w:sz w:val="18"/>
                <w:szCs w:val="18"/>
              </w:rPr>
              <w:t xml:space="preserve">Handicap Index (HI)</w:t>
            </w:r>
          </w:p>
        </w:tc>
        <w:tc>
          <w:tcPr>
            <w:tcW w:type="dxa" w:w="40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2A2622"/>
                <w:sz w:val="18"/>
                <w:szCs w:val="18"/>
              </w:rPr>
              <w:t xml:space="preserve">18.4</w:t>
            </w:r>
          </w:p>
        </w:tc>
      </w:tr>
      <w:tr>
        <w:tc>
          <w:tcPr>
            <w:tcW w:type="dxa" w:w="5000"/>
            <w:shd w:fill="F6F1E4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2A2622"/>
                <w:sz w:val="18"/>
                <w:szCs w:val="18"/>
              </w:rPr>
              <w:t xml:space="preserve">Slope Rating</w:t>
            </w:r>
          </w:p>
        </w:tc>
        <w:tc>
          <w:tcPr>
            <w:tcW w:type="dxa" w:w="4000"/>
            <w:shd w:fill="F6F1E4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2A2622"/>
                <w:sz w:val="18"/>
                <w:szCs w:val="18"/>
              </w:rPr>
              <w:t xml:space="preserve">125</w:t>
            </w:r>
          </w:p>
        </w:tc>
      </w:tr>
      <w:tr>
        <w:tc>
          <w:tcPr>
            <w:tcW w:type="dxa" w:w="50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2A2622"/>
                <w:sz w:val="18"/>
                <w:szCs w:val="18"/>
              </w:rPr>
              <w:t xml:space="preserve">Course Rating</w:t>
            </w:r>
          </w:p>
        </w:tc>
        <w:tc>
          <w:tcPr>
            <w:tcW w:type="dxa" w:w="40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2A2622"/>
                <w:sz w:val="18"/>
                <w:szCs w:val="18"/>
              </w:rPr>
              <w:t xml:space="preserve">71.2</w:t>
            </w:r>
          </w:p>
        </w:tc>
      </w:tr>
      <w:tr>
        <w:tc>
          <w:tcPr>
            <w:tcW w:type="dxa" w:w="5000"/>
            <w:shd w:fill="F6F1E4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2A2622"/>
                <w:sz w:val="18"/>
                <w:szCs w:val="18"/>
              </w:rPr>
              <w:t xml:space="preserve">Par</w:t>
            </w:r>
          </w:p>
        </w:tc>
        <w:tc>
          <w:tcPr>
            <w:tcW w:type="dxa" w:w="4000"/>
            <w:shd w:fill="F6F1E4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2A2622"/>
                <w:sz w:val="18"/>
                <w:szCs w:val="18"/>
              </w:rPr>
              <w:t xml:space="preserve">72</w:t>
            </w:r>
          </w:p>
        </w:tc>
      </w:tr>
      <w:tr>
        <w:tc>
          <w:tcPr>
            <w:tcW w:type="dxa" w:w="50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2A2622"/>
                <w:sz w:val="18"/>
                <w:szCs w:val="18"/>
              </w:rPr>
              <w:t xml:space="preserve">Course Handicap</w:t>
            </w:r>
          </w:p>
        </w:tc>
        <w:tc>
          <w:tcPr>
            <w:tcW w:type="dxa" w:w="40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2A2622"/>
                <w:sz w:val="18"/>
                <w:szCs w:val="18"/>
              </w:rPr>
              <w:t xml:space="preserve">20</w:t>
            </w:r>
          </w:p>
        </w:tc>
      </w:tr>
    </w:tbl>
    <w:p>
      <w:pPr>
        <w:pStyle w:val="Heading1"/>
        <w:spacing w:after="120" w:before="300"/>
      </w:pPr>
      <w:r>
        <w:rPr>
          <w:b/>
          <w:bCs/>
          <w:color w:val="1F3D2B"/>
        </w:rPr>
        <w:t xml:space="preserve">WHS — Playing Handicap (Stroke Play &amp; Stableford)</w:t>
      </w:r>
    </w:p>
    <w:p>
      <w:pPr>
        <w:spacing w:after="160"/>
      </w:pPr>
      <w:r>
        <w:rPr>
          <w:b/>
          <w:bCs/>
          <w:color w:val="2A2622"/>
        </w:rPr>
        <w:t xml:space="preserve">Playing Handicap = round( Course Handicap × Allowance % )</w:t>
      </w:r>
    </w:p>
    <w:p>
      <w:pPr>
        <w:spacing w:after="160"/>
      </w:pPr>
      <w:r>
        <w:rPr>
          <w:color w:val="2A2622"/>
        </w:rPr>
        <w:t xml:space="preserve">Under WHS, the allowance is 100% of Course Handicap for a field of 32 players or fewer, reduced to 95% for larger fields — the standard "large field" convention.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1800"/>
        <w:gridCol w:w="2200"/>
        <w:gridCol w:w="2200"/>
      </w:tblGrid>
      <w:tr>
        <w:tc>
          <w:tcPr>
            <w:tcW w:type="dxa" w:w="2800"/>
            <w:shd w:fill="1F3D2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Field size</w:t>
            </w:r>
          </w:p>
        </w:tc>
        <w:tc>
          <w:tcPr>
            <w:tcW w:type="dxa" w:w="1800"/>
            <w:shd w:fill="1F3D2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Allowance</w:t>
            </w:r>
          </w:p>
        </w:tc>
        <w:tc>
          <w:tcPr>
            <w:tcW w:type="dxa" w:w="2200"/>
            <w:shd w:fill="1F3D2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Course Handicap</w:t>
            </w:r>
          </w:p>
        </w:tc>
        <w:tc>
          <w:tcPr>
            <w:tcW w:type="dxa" w:w="2200"/>
            <w:shd w:fill="1F3D2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Playing Handicap</w:t>
            </w:r>
          </w:p>
        </w:tc>
      </w:tr>
      <w:tr>
        <w:tc>
          <w:tcPr>
            <w:tcW w:type="dxa" w:w="2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2A2622"/>
                <w:sz w:val="18"/>
                <w:szCs w:val="18"/>
              </w:rPr>
              <w:t xml:space="preserve">32 players or fewer</w:t>
            </w:r>
          </w:p>
        </w:tc>
        <w:tc>
          <w:tcPr>
            <w:tcW w:type="dxa" w:w="1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2A2622"/>
                <w:sz w:val="18"/>
                <w:szCs w:val="18"/>
              </w:rPr>
              <w:t xml:space="preserve">100%</w:t>
            </w:r>
          </w:p>
        </w:tc>
        <w:tc>
          <w:tcPr>
            <w:tcW w:type="dxa" w:w="2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2A2622"/>
                <w:sz w:val="18"/>
                <w:szCs w:val="18"/>
              </w:rPr>
              <w:t xml:space="preserve">20</w:t>
            </w:r>
          </w:p>
        </w:tc>
        <w:tc>
          <w:tcPr>
            <w:tcW w:type="dxa" w:w="2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2A2622"/>
                <w:sz w:val="18"/>
                <w:szCs w:val="18"/>
              </w:rPr>
              <w:t xml:space="preserve">20</w:t>
            </w:r>
          </w:p>
        </w:tc>
      </w:tr>
      <w:tr>
        <w:tc>
          <w:tcPr>
            <w:tcW w:type="dxa" w:w="2800"/>
            <w:shd w:fill="F6F1E4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2A2622"/>
                <w:sz w:val="18"/>
                <w:szCs w:val="18"/>
              </w:rPr>
              <w:t xml:space="preserve">33 players or more</w:t>
            </w:r>
          </w:p>
        </w:tc>
        <w:tc>
          <w:tcPr>
            <w:tcW w:type="dxa" w:w="1800"/>
            <w:shd w:fill="F6F1E4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2A2622"/>
                <w:sz w:val="18"/>
                <w:szCs w:val="18"/>
              </w:rPr>
              <w:t xml:space="preserve">95%</w:t>
            </w:r>
          </w:p>
        </w:tc>
        <w:tc>
          <w:tcPr>
            <w:tcW w:type="dxa" w:w="2200"/>
            <w:shd w:fill="F6F1E4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2A2622"/>
                <w:sz w:val="18"/>
                <w:szCs w:val="18"/>
              </w:rPr>
              <w:t xml:space="preserve">20</w:t>
            </w:r>
          </w:p>
        </w:tc>
        <w:tc>
          <w:tcPr>
            <w:tcW w:type="dxa" w:w="2200"/>
            <w:shd w:fill="F6F1E4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2A2622"/>
                <w:sz w:val="18"/>
                <w:szCs w:val="18"/>
              </w:rPr>
              <w:t xml:space="preserve">19</w:t>
            </w:r>
          </w:p>
        </w:tc>
      </w:tr>
    </w:tbl>
    <w:p>
      <w:pPr>
        <w:pStyle w:val="Heading1"/>
        <w:spacing w:after="120" w:before="300"/>
      </w:pPr>
      <w:r>
        <w:rPr>
          <w:b/>
          <w:bCs/>
          <w:color w:val="1F3D2B"/>
        </w:rPr>
        <w:t xml:space="preserve">WHS — Match Play Allowances (Team Cup)</w:t>
      </w:r>
    </w:p>
    <w:p>
      <w:pPr>
        <w:spacing w:after="160"/>
      </w:pPr>
      <w:r>
        <w:rPr>
          <w:color w:val="2A2622"/>
        </w:rPr>
        <w:t xml:space="preserve">Team Cup match formats use their own allowance percentages, applied to each player’s Course Handicap: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0"/>
        <w:gridCol w:w="4000"/>
      </w:tblGrid>
      <w:tr>
        <w:tc>
          <w:tcPr>
            <w:tcW w:type="dxa" w:w="5000"/>
            <w:shd w:fill="1F3D2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Format</w:t>
            </w:r>
          </w:p>
        </w:tc>
        <w:tc>
          <w:tcPr>
            <w:tcW w:type="dxa" w:w="4000"/>
            <w:shd w:fill="1F3D2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Allowance</w:t>
            </w:r>
          </w:p>
        </w:tc>
      </w:tr>
      <w:tr>
        <w:tc>
          <w:tcPr>
            <w:tcW w:type="dxa" w:w="50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2A2622"/>
                <w:sz w:val="18"/>
                <w:szCs w:val="18"/>
              </w:rPr>
              <w:t xml:space="preserve">Singles</w:t>
            </w:r>
          </w:p>
        </w:tc>
        <w:tc>
          <w:tcPr>
            <w:tcW w:type="dxa" w:w="40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2A2622"/>
                <w:sz w:val="18"/>
                <w:szCs w:val="18"/>
              </w:rPr>
              <w:t xml:space="preserve">100%</w:t>
            </w:r>
          </w:p>
        </w:tc>
      </w:tr>
      <w:tr>
        <w:tc>
          <w:tcPr>
            <w:tcW w:type="dxa" w:w="5000"/>
            <w:shd w:fill="F6F1E4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2A2622"/>
                <w:sz w:val="18"/>
                <w:szCs w:val="18"/>
              </w:rPr>
              <w:t xml:space="preserve">Four-ball</w:t>
            </w:r>
          </w:p>
        </w:tc>
        <w:tc>
          <w:tcPr>
            <w:tcW w:type="dxa" w:w="4000"/>
            <w:shd w:fill="F6F1E4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2A2622"/>
                <w:sz w:val="18"/>
                <w:szCs w:val="18"/>
              </w:rPr>
              <w:t xml:space="preserve">90%</w:t>
            </w:r>
          </w:p>
        </w:tc>
      </w:tr>
      <w:tr>
        <w:tc>
          <w:tcPr>
            <w:tcW w:type="dxa" w:w="50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2A2622"/>
                <w:sz w:val="18"/>
                <w:szCs w:val="18"/>
              </w:rPr>
              <w:t xml:space="preserve">Foursomes</w:t>
            </w:r>
          </w:p>
        </w:tc>
        <w:tc>
          <w:tcPr>
            <w:tcW w:type="dxa" w:w="40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2A2622"/>
                <w:sz w:val="18"/>
                <w:szCs w:val="18"/>
              </w:rPr>
              <w:t xml:space="preserve">50%</w:t>
            </w:r>
          </w:p>
        </w:tc>
      </w:tr>
    </w:tbl>
    <w:p>
      <w:pPr>
        <w:spacing w:after="160"/>
      </w:pPr>
      <w:r>
        <w:rPr>
          <w:color w:val="2A2622"/>
        </w:rPr>
        <w:t xml:space="preserve">These match play defaults are a common convention, not a fixed rule — clubs vary. Applied to the Course Handicap example above (20): Singles plays off 20, Four-ball off 18, Foursomes off 10.</w:t>
      </w:r>
    </w:p>
    <w:p>
      <w:pPr>
        <w:pStyle w:val="Heading1"/>
        <w:spacing w:after="120" w:before="300"/>
      </w:pPr>
      <w:r>
        <w:rPr>
          <w:b/>
          <w:bCs/>
          <w:color w:val="1F3D2B"/>
        </w:rPr>
        <w:t xml:space="preserve">Golf Australia (GA) — Playing Handicap, every format</w:t>
      </w:r>
    </w:p>
    <w:p>
      <w:pPr>
        <w:spacing w:after="160"/>
      </w:pPr>
      <w:r>
        <w:rPr>
          <w:b/>
          <w:bCs/>
          <w:color w:val="2A2622"/>
        </w:rPr>
        <w:t xml:space="preserve">Playing Handicap = round( Course Handicap × 93% )</w:t>
      </w:r>
    </w:p>
    <w:p>
      <w:pPr>
        <w:spacing w:after="160"/>
      </w:pPr>
      <w:r>
        <w:rPr>
          <w:color w:val="2A2622"/>
        </w:rPr>
        <w:t xml:space="preserve">GA uses one flat allowance for everything — there is no field-size rule and no separate match-play percentages. Selecting GA for an event replaces both of the WHS rules above with this single calculation, for Stroke Play, Stableford, and Team Cup matches alike.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0"/>
        <w:gridCol w:w="4000"/>
      </w:tblGrid>
      <w:tr>
        <w:tc>
          <w:tcPr>
            <w:tcW w:type="dxa" w:w="5000"/>
            <w:shd w:fill="1F3D2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Course Handicap</w:t>
            </w:r>
          </w:p>
        </w:tc>
        <w:tc>
          <w:tcPr>
            <w:tcW w:type="dxa" w:w="4000"/>
            <w:shd w:fill="1F3D2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Playing Handicap (× 93%)</w:t>
            </w:r>
          </w:p>
        </w:tc>
      </w:tr>
      <w:tr>
        <w:tc>
          <w:tcPr>
            <w:tcW w:type="dxa" w:w="50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2A2622"/>
                <w:sz w:val="18"/>
                <w:szCs w:val="18"/>
              </w:rPr>
              <w:t xml:space="preserve">20</w:t>
            </w:r>
          </w:p>
        </w:tc>
        <w:tc>
          <w:tcPr>
            <w:tcW w:type="dxa" w:w="40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2A2622"/>
                <w:sz w:val="18"/>
                <w:szCs w:val="18"/>
              </w:rPr>
              <w:t xml:space="preserve">19</w:t>
            </w:r>
          </w:p>
        </w:tc>
      </w:tr>
    </w:tbl>
    <w:p>
      <w:pPr>
        <w:spacing w:after="160"/>
      </w:pPr>
      <w:r>
        <w:rPr>
          <w:i/>
          <w:iCs/>
          <w:color w:val="2A2622"/>
        </w:rPr>
        <w:t xml:space="preserve">Ambrose team handicaps are calculated separately from this WHS/GA choice — see the Team Handicap Allowance setting in Ambrose event setup (defaults: 35% for 2-player teams, 30% for 3-player, 20% for 4-player, applied to the team’s combined Course Handicap).</w:t>
      </w:r>
    </w:p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8CFB8" w:sz="6" w:space="6"/>
      </w:pBdr>
      <w:jc w:val="center"/>
    </w:pPr>
    <w:r>
      <w:rPr>
        <w:i/>
        <w:iCs/>
        <w:color w:val="2A2622"/>
        <w:sz w:val="16"/>
        <w:szCs w:val="16"/>
      </w:rPr>
      <w:t xml:space="preserve">A free tool from </w:t>
    </w:r>
    <w:hyperlink w:history="1" r:id="rIdyp1waibg1eil-gqic8qzq">
      <w:r>
        <w:rPr>
          <w:i/>
          <w:iCs/>
          <w:color w:val="C7972F"/>
          <w:sz w:val="16"/>
          <w:szCs w:val="16"/>
          <w:u w:val="single"/>
        </w:rPr>
        <w:t xml:space="preserve">golfscore.club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1F3D2B" w:sz="12" w:space="6"/>
      </w:pBdr>
      <w:jc w:val="left"/>
    </w:pPr>
    <w:r>
      <w:rPr>
        <w:b/>
        <w:bCs/>
        <w:color w:val="1F3D2B"/>
        <w:spacing w:val="20"/>
        <w:sz w:val="18"/>
        <w:szCs w:val="18"/>
      </w:rPr>
      <w:t xml:space="preserve">GOLFSCORE CLUB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yp1waibg1eil-gqic8qzq" Type="http://schemas.openxmlformats.org/officeDocument/2006/relationships/hyperlink" Target="https://golfscore.club" TargetMode="External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2026-07-09T10:48:55.515Z</dcterms:created>
  <dcterms:modified xsi:type="dcterms:W3CDTF">2026-07-09T10:48:55.516Z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